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4"/>
        <w:numPr>
          <w:ilvl w:val="0"/>
          <w:numId w:val="0"/>
        </w:numPr>
        <w:bidi w:val="0"/>
        <w:spacing w:lineRule="auto" w:line="240" w:before="0" w:after="0"/>
        <w:ind w:hanging="0" w:left="0" w:right="0"/>
        <w:jc w:val="right"/>
        <w:outlineLvl w:val="0"/>
        <w:rPr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  <w:t>Приложение 1 к ТТ ОЛ поставка силового выключателя 110 кВ модернизация ПС 110 кВ Михайловка</w:t>
      </w:r>
    </w:p>
    <w:p>
      <w:pPr>
        <w:pStyle w:val="Normal"/>
        <w:bidi w:val="0"/>
        <w:jc w:val="left"/>
        <w:rPr>
          <w:rFonts w:ascii="Liberation Serif" w:hAnsi="Liberation Serif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Heading4"/>
        <w:keepNext w:val="true"/>
        <w:numPr>
          <w:ilvl w:val="0"/>
          <w:numId w:val="0"/>
        </w:numPr>
        <w:bidi w:val="0"/>
        <w:spacing w:before="120" w:after="60"/>
        <w:ind w:hanging="0" w:left="0" w:right="0"/>
        <w:jc w:val="center"/>
        <w:rPr>
          <w:sz w:val="24"/>
          <w:szCs w:val="24"/>
        </w:rPr>
      </w:pPr>
      <w:r>
        <w:rPr>
          <w:b/>
          <w:bCs/>
          <w:i w:val="false"/>
          <w:iCs w:val="false"/>
          <w:sz w:val="24"/>
          <w:szCs w:val="24"/>
          <w:shd w:fill="auto" w:val="clear"/>
        </w:rPr>
        <w:t>Опросный лист</w:t>
        <w:tab/>
      </w:r>
    </w:p>
    <w:p>
      <w:pPr>
        <w:pStyle w:val="Normal"/>
        <w:bidi w:val="0"/>
        <w:jc w:val="center"/>
        <w:rPr>
          <w:sz w:val="24"/>
          <w:szCs w:val="24"/>
        </w:rPr>
      </w:pPr>
      <w:r>
        <w:rPr>
          <w:b/>
          <w:bCs/>
          <w:i w:val="false"/>
          <w:iCs w:val="false"/>
          <w:sz w:val="24"/>
          <w:szCs w:val="24"/>
          <w:shd w:fill="auto" w:val="clear"/>
        </w:rPr>
        <w:t xml:space="preserve">для заказа  элегазового бакового выключателя 110 кВ, </w:t>
      </w:r>
      <w:r>
        <w:rPr>
          <w:b/>
          <w:bCs/>
          <w:i/>
          <w:iCs w:val="false"/>
          <w:sz w:val="24"/>
          <w:szCs w:val="24"/>
          <w:shd w:fill="auto" w:val="clear"/>
        </w:rPr>
        <w:t>модернизация ПС 110 кВ Михайловка присоединение В-110 РГРЭС</w:t>
      </w:r>
    </w:p>
    <w:p>
      <w:pPr>
        <w:pStyle w:val="Normal"/>
        <w:bidi w:val="0"/>
        <w:jc w:val="both"/>
        <w:rPr>
          <w:rFonts w:ascii="Liberation Serif" w:hAnsi="Liberation Serif"/>
          <w:i w:val="false"/>
          <w:i w:val="false"/>
          <w:iCs w:val="false"/>
          <w:sz w:val="22"/>
          <w:szCs w:val="22"/>
          <w:shd w:fill="auto" w:val="clear"/>
        </w:rPr>
      </w:pPr>
      <w:r>
        <w:rPr>
          <w:i w:val="false"/>
          <w:iCs w:val="false"/>
          <w:sz w:val="22"/>
          <w:szCs w:val="22"/>
          <w:shd w:fill="auto" w:val="clear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814"/>
        <w:gridCol w:w="33"/>
        <w:gridCol w:w="6"/>
        <w:gridCol w:w="2441"/>
        <w:gridCol w:w="16"/>
        <w:gridCol w:w="2913"/>
        <w:gridCol w:w="15"/>
        <w:gridCol w:w="2832"/>
        <w:gridCol w:w="20"/>
        <w:gridCol w:w="2309"/>
      </w:tblGrid>
      <w:tr>
        <w:trPr/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п/п</w:t>
            </w:r>
          </w:p>
        </w:tc>
        <w:tc>
          <w:tcPr>
            <w:tcW w:w="38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4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5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38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4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Предоставление подтверждающего документа на этапе закупки</w:t>
            </w:r>
          </w:p>
        </w:tc>
        <w:tc>
          <w:tcPr>
            <w:tcW w:w="23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60" w:after="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</w:t>
            </w:r>
          </w:p>
        </w:tc>
        <w:tc>
          <w:tcPr>
            <w:tcW w:w="2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4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5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техническим и функциональным характеристикам выключателя (включая гарантируемые показатели)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Производитель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ООО Эльмаш «УЭТМ» г.Екатеринбург Россия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Указать характеристики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ind w:hanging="229" w:left="229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Техническое предложение.</w:t>
            </w:r>
          </w:p>
          <w:p>
            <w:pPr>
              <w:pStyle w:val="Style19"/>
              <w:widowControl w:val="false"/>
              <w:bidi w:val="0"/>
              <w:ind w:hanging="229" w:left="229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Вид выключателя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Элегазовый, баковый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Декларация о соответствии.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Номинальная частота, Гц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50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Номинальное напряжение, кВ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110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ind w:hanging="229" w:left="229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216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1.5.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Наибольшее рабочее напряжение, кВ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126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104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1.6.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Номинальный ток, А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2500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ind w:hanging="229" w:left="229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409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1.7.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Номинальный ток отключения, кА,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40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399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1.8.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Вид привода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Пружинный ППрК,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либо аналог равноценный или превосходящий по качеству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ind w:hanging="229" w:left="229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1.9.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Ток термической стойкости, кА,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40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1.10.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Время протекания тока термической стойкости, с.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3,0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ind w:hanging="229" w:left="229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Ток электродинамической стойкости, кА,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102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Наибольший пик тока включения, кА,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102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1.13.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1.14.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Содержание апериодической составляющей, %, не менее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1.15.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Емкостной ток ненагруженных линий, отключаемый без повторных пробоев, А, не более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1.16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Нормированный ток отключения в условиях рассогласования фаз, кА, не менее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0,25∙ Iо.ном.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1.17.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Коммутационный ресурс, операций О (В), не менее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15(8)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1.18.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Нормированные коммутационные циклы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цикл 1а: О - tбт - ВО - 20 с - ВО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1.19.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Бестоковая пауза при АПВ, сек.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0,3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1.20.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Разновременность включения полюсов, сек., не более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0,005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Разновременность отключения полюсов, сек., не более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0,0033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Механический ресурс, циклов В-tп-О, операций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10000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Номинальное напряжение цепей управления (постоянный ток), Uп.ном., В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220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Диапазон изменения напряжения постоянного тока цепей управления, % от номинального значения, не менее: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</w:t>
              <w:tab/>
              <w:t>для цепей отключения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</w:t>
              <w:tab/>
              <w:t>для цепей включения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70 – 110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85 – 105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1.25.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Напряжение питания обогревателей (переменный ток), В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230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1.26.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Номинальная мощность подогревательных устройств (</w:t>
            </w:r>
            <w:r>
              <w:rPr>
                <w:b/>
                <w:color w:val="000000"/>
                <w:sz w:val="22"/>
                <w:szCs w:val="22"/>
              </w:rPr>
              <w:t>привода</w:t>
            </w:r>
            <w:r>
              <w:rPr>
                <w:color w:val="000000"/>
                <w:sz w:val="22"/>
                <w:szCs w:val="22"/>
              </w:rPr>
              <w:t>), кВт, не более</w:t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постоянно работающих (антиконденсаторный)</w:t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периодических (автоматических)</w:t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Номинальная мощность подогревательных устройств (</w:t>
            </w:r>
            <w:r>
              <w:rPr>
                <w:b/>
                <w:color w:val="000000"/>
                <w:sz w:val="22"/>
                <w:szCs w:val="22"/>
              </w:rPr>
              <w:t>выключателя</w:t>
            </w:r>
            <w:r>
              <w:rPr>
                <w:color w:val="000000"/>
                <w:sz w:val="22"/>
                <w:szCs w:val="22"/>
              </w:rPr>
              <w:t>), кВт, не более</w:t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постоянно работающих (антиконденсаторный)</w:t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периодических (автоматических)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4,730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1.27.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Напряжение питания электродвигателей привода (переменный ток) (однофазное), Uп.ном., В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230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1.28.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Ток, потребляемый электродвигателем привода (пусковой/установившийся), А, не более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highlight w:val="none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</w:t>
            </w:r>
          </w:p>
        </w:tc>
        <w:tc>
          <w:tcPr>
            <w:tcW w:w="6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электрической прочности изоляции: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Уровень изоляции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Испытательное напряжение полного грозового импульса, кВ,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1) относительно земли выключателя между контактами полюса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450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2) между контактами полюса выключателя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 повышенным уровнем изоляции: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520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Кратковременное (одноминутное) переменное напряжение, кВ, не менее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/>
            </w:pPr>
            <w:r>
              <w:rPr>
                <w:rStyle w:val="Style11"/>
                <w:rFonts w:eastAsia="Times New Roman" w:cs="Times New Roman"/>
                <w:b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 сухом состоянии относительно земли, между полюсами и между контактами полюса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230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под дождем относительно земли, между полюсами и между контактами полюса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Удельная длина пути утечки внешней изоляции, см/кВ,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3,1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2.5.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встроенным трансформаторам тока для измерений и учёта: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2.5.1.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Номинальный первичный ток, А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600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2.5.2.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Номинальный вторичный ток, А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2.5.3.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Класс точности: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0,2S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2.5.4.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Вторичная нагрузка, ВА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30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2.5.5.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Коэффициент безопасности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5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2.5.6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Количество на полюс, шт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1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2.6.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Требования к встроенным трансформаторам тока для измерений: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2.6.1.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Номинальный первичный ток, А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600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2.6.2.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Номинальный вторичный ток, А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5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2.6.3.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Класс точности: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0,2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2.6.4.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Вторичная нагрузка, ВА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50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r>
          </w:p>
        </w:tc>
      </w:tr>
      <w:tr>
        <w:trPr>
          <w:trHeight w:val="403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2.6.5.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Коэффициент безопасности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5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2.6.6.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Количество на полюс, шт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  <w:t>1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cs="Lohit Devanagari"/>
                <w:i w:val="false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pPr>
            <w:r>
              <w:rPr>
                <w:rFonts w:cs="Lohit Devanagari"/>
                <w:i w:val="false"/>
                <w:iCs w:val="false"/>
                <w:color w:val="000000"/>
                <w:kern w:val="2"/>
                <w:sz w:val="22"/>
                <w:szCs w:val="22"/>
                <w:shd w:fill="auto" w:val="clear"/>
                <w:lang w:val="ru-RU" w:eastAsia="zh-CN" w:bidi="hi-IN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2.7.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Требования к встроенным трансформаторам тока для защиты: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2.7.1.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Номинальный первичный ток, А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600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2.7.2.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Номинальный вторичный ток, А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5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2.7.3.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Класс точности: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5PR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2.7.4.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Вторичная нагрузка, ВА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50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2.7.5.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Предельная кратность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30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2.7.6.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Количество на полюс, шт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4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2.8.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Коэффициент безопасности приборов обмоток для измерений и учета электроэнергии, не более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2.9.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Защитные обмотки трансформаторов тока должны обеспечивать заданный классом точности предел погрешности в переходных режимах, включая цикл АПВ, в том числе и не успешной АПВ «КЗ – отключение–пауза 1с включение (успешное и неуспешное на КЗ»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3.</w:t>
            </w:r>
          </w:p>
        </w:tc>
        <w:tc>
          <w:tcPr>
            <w:tcW w:w="6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безопасности: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</w:tr>
      <w:tr>
        <w:trPr>
          <w:trHeight w:val="821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3.1.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Степень защищенности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en-US" w:eastAsia="ru-RU" w:bidi="ar-SA"/>
              </w:rPr>
              <w:t>IP</w:t>
            </w: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en-US" w:eastAsia="ru-RU" w:bidi="ar-SA"/>
              </w:rPr>
              <w:t>65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3.2.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Газоотводы, выхлопные и предохранительные устройства выключателей должны быть расположены так, чтобы выброс жидкости или газа был направлен в сторону от места, где может находиться обслуживающий персонал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3.3.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Выключатель (полюс выключателя) должен иметь контактную площадку для подсоединения заземляющего проводника и заземляющий зажим (зажимы) с указанием знака заземления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3.4.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Соответствие требованиям ГОСТ 12.2.007.3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конструкции, изготовлению и материалам:</w:t>
            </w:r>
          </w:p>
        </w:tc>
      </w:tr>
      <w:tr>
        <w:trPr>
          <w:trHeight w:val="1057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Конструктивное исполнение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трехполюсный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Тип изоляции вводов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фарфор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Liberation Serif" w:hAnsi="Liberation Serif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Допустимая величина механической нагрузки от тяжения проводов в горизонтальной плоскости, Н,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before="0" w:after="0"/>
              <w:ind w:hanging="237" w:left="237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направление А: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1000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bidi w:val="0"/>
              <w:spacing w:before="0" w:after="0"/>
              <w:ind w:hanging="237" w:left="237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направление В: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750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Расход на утечки газа или газовой смеси, %, не более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0,5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4.5.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Масса выключателя, кг не более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2750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4.6.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Масса элегаза, газовой смеси/масла, кг не более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4.7.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Габаритые размеры выключателя, Д/В/Ш, м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4.8.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Межполюсное расстояние полюсов выключателя, м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1,46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4.9.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Категория внешней изоляции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Климатическое исполнение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УХЛ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Категория размещения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Верхнее рабочее значение температуры окружающего воздуха, °С, для климатических исполнений и категорий размещения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плюс 40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Нижнее рабочее значение температуры окружающего воздуха, °С, для климатических исполнений и категорий размещения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минус 60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Cs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5.5.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Высота над уровнем моря, м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до 1000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5.6.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Толщина стенки гололеда, мм,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5.7.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Допустимая скорость ветра при наличии гололеда, м/с,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975" w:hRule="atLeast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5.8.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40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5.9.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Сейсмостойкость, баллов по шкале MSK-64, не менее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9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b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6.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качеству поставляемой продукции</w:t>
            </w: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6.1.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Продукция должна быть новая*, ранее не используемая.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* - Под новым следует понимать оборудование, которое не было в употреблении, не приходило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6.2.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Год выпуска продукции (оборудования)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Не ранее 2026г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Требования к доставке, маркировке, упаковке, транспортировке, перемещению, условиям хранения, приемке и испытаниям: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7.1.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Место поставки продукции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г.Благовещенск Амурская обл. ул.Театральная 179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7.2.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Выключатель должен иметь табличку по ГОСТ 12969-67 и ГОСТ 12971-67, содержащую следующие данные: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товарный знак или наименование предприятия-изготовителя;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изделия ("Выключатель");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тип выключателя в соответствии с 5.3 ГОСТ Р 52565-2006;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обозначение климатического исполнения и категории размещения по ГОСТ 15150;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порядковый номер по системе нумерации предприятия-изготовителя;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номинальное напряжение в киловольтах;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номинальный ток в амперах;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номинальный ток отключения в килоамперах;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давление заполнения газа (смеси газов) в мегапаскалях (и рядом в скобках - в килограмм-силах на квадратный сантиметр) при 20 °С - для газовых выключателей;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масса выключателя в килограммах;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обозначение настоящего стандарта или ТУ;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дата изготовления (год выпуска) выключателя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7.3.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Транспортная маркировка грузов - по ГОСТ 14192-77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7.4.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Выключатели или их части (при транспортировании выключателей в частично разобранном виде) должны быть упакованы для транспортирования в плотные или решетчатые ящики по ГОСТ 10198 или ГОСТ 2991 или в специальную тару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7.5.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Все неокрашенные металлические части выключателя должны быть подвергнуты консервации по ГОСТ 23216-78.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7.6.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Условия хранения по ГОСТ 15150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left="72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8ОЖ3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7.7.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Условия транспортирования согласно ГОСТ 23216-78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left="72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жесткие (Ж)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7.8.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Срок хранения, не менее, лет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left="7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8.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Требования к эксплуатации, обеспечению и утилизации: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8.1.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Эксплуатация монтаж выключателя должно соответствовать требованиям Правилам технической эксплуатации электрических сетей, Правилам организации технического обслуживания и ремонта объектов электроэнергетики, Правилам устройств электроустановок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left="7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8.2.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Наличие в заводской документации требований по мерам безопасности, перечня составных частей и методов утилизации изделий, представляющих опасность для жизни, здоровью людей и окружающей среды после окончания срока службы выключателя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ind w:left="7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Соответствие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9</w:t>
            </w: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6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9.1.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Гарантийный срок эксплуатации выключателя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Не менее трех лет со дня ввода в эксплуатацию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9.2.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Возможность заключения договора на постгарантийное обслуживание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9.3.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Наличие сервисных центров на территории РФ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  <w:lang w:val="ru-RU"/>
              </w:rPr>
              <w:t>- Протоколы испытаний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9.4.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Гарантии распространяются на все поставляемое оборудование.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 течение гарантийного срока должна быть обеспечена безвозмездная замена или ремонт вышедшего из строя оборудования, включая его доставку туда и обратно. Доставка неисправного оборудования в сервисный центр для проведения ремонта и возвращение исправного, после ремонта, оборудования Поставщик осуществляет за свой счет.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10.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</w:p>
        </w:tc>
      </w:tr>
      <w:tr>
        <w:trPr>
          <w:trHeight w:val="346" w:hRule="atLeast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10.1.</w:t>
            </w:r>
          </w:p>
        </w:tc>
        <w:tc>
          <w:tcPr>
            <w:tcW w:w="3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Выключатель с приводом и опорными металлоконструкциями</w:t>
            </w:r>
          </w:p>
        </w:tc>
        <w:tc>
          <w:tcPr>
            <w:tcW w:w="24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10.2.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Комплект запасных частей и принадлежностей ЗИП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согласно комплектации производителя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-Руководство по монтажу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-Ведомость ЗИП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10.3.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Эксплуатационная документация по ГОСТ Р 2.601-2019, экз.: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формуляр или паспорт;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ведомость ЗИП в виде отдельного документа или как составная часть паспорта или формуляра.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 (1 в электронном виде)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10.4.</w:t>
            </w:r>
          </w:p>
        </w:tc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Оснащение выключателя: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Счетчики числа срабатываний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Устройство учета коммутационного ресурса;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Индикатор плотности элегаза с температурной компенсацией и блок–контактами для сигнализации о снижении давления и запрещения оперирования выключателем, на каждый полюс выключателя не требующий метрологического обслуживания;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Наличие предохранительных клапанов (мембран) для каждого полюса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Контактные зажимы выводов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Механический указатель включенного и отключенного положений;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Переключатель управления – местное/дистанционное;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Кнопки местного управления выключателем;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Съемное приспособление для ручного неоперативного включения;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Газозаправочный комплект;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Элегазовый детектор утечки;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Устройство для измерения количества влаги;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Количество заправок дополнительного поставляемого элегаза (первичная заправка входит в комплект поставки);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Площадка обслуживания элегазового выключателя;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Опоры (м/к) под установку выключателя, (высота) мм.</w:t>
            </w:r>
          </w:p>
        </w:tc>
        <w:tc>
          <w:tcPr>
            <w:tcW w:w="2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2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да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1860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</w:r>
          </w:p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-Руководство по монтажу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14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поставщика документации: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11.1.</w:t>
            </w:r>
          </w:p>
        </w:tc>
        <w:tc>
          <w:tcPr>
            <w:tcW w:w="38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Во всем не оговоренном выключатели</w:t>
            </w: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и встраиваемое оборудование должны соответствовать требованиям ГОСТ Р 52565-2006, ПУЭ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да</w:t>
            </w:r>
          </w:p>
        </w:tc>
        <w:tc>
          <w:tcPr>
            <w:tcW w:w="294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hd w:fill="auto" w:val="clear"/>
                <w:lang w:val="ru-RU" w:eastAsia="ru-RU" w:bidi="ar-SA"/>
              </w:rPr>
              <w:t>- Руководство по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hd w:fill="auto" w:val="clear"/>
                <w:lang w:val="ru-RU" w:eastAsia="ru-RU" w:bidi="ar-SA"/>
              </w:rPr>
              <w:t>-Ведомость ЗИП.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color w:val="000000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hd w:fill="auto" w:val="clear"/>
                <w:lang w:val="ru-RU" w:eastAsia="ru-RU" w:bidi="ar-SA"/>
              </w:rPr>
              <w:t>- Свидетельства</w:t>
            </w:r>
          </w:p>
        </w:tc>
        <w:tc>
          <w:tcPr>
            <w:tcW w:w="23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3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12.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экономическим параметрам:</w:t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12.1.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Срок службы, не менее, лет</w:t>
            </w:r>
          </w:p>
        </w:tc>
        <w:tc>
          <w:tcPr>
            <w:tcW w:w="2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30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12.2.</w:t>
            </w: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Срок службы до среднего (капитального) ремонта, лет, не менее</w:t>
            </w:r>
          </w:p>
        </w:tc>
        <w:tc>
          <w:tcPr>
            <w:tcW w:w="2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15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eastAsia="ru-RU" w:bidi="ar-SA"/>
              </w:rPr>
              <w:t>- Опросный лист.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Технические условия.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1395" w:leader="none"/>
              </w:tabs>
              <w:suppressAutoHyphens w:val="true"/>
              <w:bidi w:val="0"/>
              <w:spacing w:before="0" w:after="0"/>
              <w:ind w:hanging="0" w:left="0" w:right="0"/>
              <w:contextualSpacing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Руководство по эксплуатации.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13</w:t>
            </w: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Требования к сопутствующим услугам: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13.1.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Участие в монтаже технического представителя завода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b/>
                <w:bCs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14.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60" w:after="6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/>
              </w:rPr>
              <w:t>Требования к обязательствам Поставщика, влияющим на исполнение договора: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14.1.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Участие представителей заказчика в приемо-сдаточных испытаний выключателя на заводе-изготовителе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14.2.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Участие представителя завода изготовителя (поставщика) в проверке качества и комплектности поставляемой продукции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b/>
                <w:bCs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</w:t>
            </w:r>
          </w:p>
        </w:tc>
        <w:tc>
          <w:tcPr>
            <w:tcW w:w="1439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Дополнительные требования:</w:t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 w:righ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давления элегаза в полюсах (общий/пополюсный)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пополюсный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15.2.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клеммных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15.3.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местах прохода кабелей в клеммные коробки, шкафы управления, привод, должно быть обеспечено надежное заземление экранов кабелей с применением специальных приспособлений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15.4.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предохранительной мембраны сброса давления (да/нет)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15.5.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Защита электромагнитов от длительного протекания тока (да/нет)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15.6.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автоматики обогрева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15.7.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электромагнитов отключения, шт.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15.8.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электромагнитов включения, шт.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15.9.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Металлические части, подвергающиеся воздействию климатических факторов</w:t>
            </w:r>
          </w:p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внешней среды, должны иметь защитные покрытия - горячее цинкование по ГОСТ 9.307-89, термодиффузионная обработка, сохраняющая свои свойства на весь срок службы или изготовление их из материалов, не подверженных коррозии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15.10.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Шкафы приводов, управления с антикоррозийным покрытием порошковой окраски или горячим цинкованием, сохраняющим свои свойства на весь срок эксплуатации (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15.11.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-113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Механический указатель включенного и отключенного положений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15.12.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Действующее значение первичного тока короткого замыкания, А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Iкз. Эфф= 4027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15.13.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Номинальная постоянная времени затухания апериодической составляющей первичного тока, мс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Тр =8,48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15.14.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Длительность протекания ТКЗ tкз(в течении которого ТТ должен находится в пределах заданного класса точности без насыщения), необходимая для нормальной работы РЗА, с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0,03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15.15.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Обмотки класса точности 0,2 и 0,2S должны быть крайними относительно полюса выключателя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60" w:after="60"/>
              <w:ind w:hanging="0" w:left="-117" w:right="0"/>
              <w:contextualSpacing/>
              <w:jc w:val="center"/>
              <w:rPr>
                <w:rFonts w:ascii="Liberation Serif" w:hAnsi="Liberation Serif" w:eastAsia="Calibri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15.16.</w:t>
            </w:r>
          </w:p>
        </w:tc>
        <w:tc>
          <w:tcPr>
            <w:tcW w:w="38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Во всем не оговоренном выключатели должны соответствовать требованиям  ГОСТ Р 52565-2006</w:t>
            </w:r>
          </w:p>
        </w:tc>
        <w:tc>
          <w:tcPr>
            <w:tcW w:w="24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да</w:t>
            </w:r>
          </w:p>
        </w:tc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Согласие с требованием</w:t>
            </w:r>
          </w:p>
        </w:tc>
        <w:tc>
          <w:tcPr>
            <w:tcW w:w="28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before="0" w:after="0"/>
              <w:ind w:hanging="0" w:left="0" w:right="0"/>
              <w:jc w:val="left"/>
              <w:rPr>
                <w:rFonts w:ascii="Liberation Serif" w:hAnsi="Liberation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rFonts w:ascii="Liberation Serif" w:hAnsi="Liberation Serif"/>
                <w:i w:val="false"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before="0" w:after="60"/>
        <w:ind w:hanging="0" w:left="0" w:right="0"/>
        <w:jc w:val="both"/>
        <w:rPr>
          <w:rStyle w:val="Style11"/>
        </w:rPr>
      </w:pPr>
      <w:r>
        <w:rPr/>
      </w:r>
    </w:p>
    <w:p>
      <w:pPr>
        <w:pStyle w:val="Normal"/>
        <w:widowControl/>
        <w:suppressAutoHyphens w:val="true"/>
        <w:bidi w:val="0"/>
        <w:spacing w:before="0" w:after="60"/>
        <w:ind w:hanging="0" w:left="0" w:right="0"/>
        <w:jc w:val="both"/>
        <w:rPr/>
      </w:pPr>
      <w:r>
        <w:rPr>
          <w:rStyle w:val="Style11"/>
          <w:b w:val="false"/>
          <w:bCs w:val="false"/>
          <w:color w:val="000000"/>
          <w:shd w:fill="auto" w:val="clear"/>
        </w:rPr>
        <w:t>Примечание:</w:t>
      </w:r>
    </w:p>
    <w:p>
      <w:pPr>
        <w:pStyle w:val="Normal"/>
        <w:widowControl w:val="false"/>
        <w:jc w:val="left"/>
        <w:rPr>
          <w:color w:val="C9211E"/>
        </w:rPr>
      </w:pPr>
      <w:r>
        <w:rPr>
          <w:rStyle w:val="Style11"/>
          <w:b w:val="false"/>
          <w:bCs w:val="false"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* - параметр заполняется поставщиком</w:t>
      </w:r>
    </w:p>
    <w:sectPr>
      <w:type w:val="nextPage"/>
      <w:pgSz w:orient="landscape" w:w="16838" w:h="11906"/>
      <w:pgMar w:left="1134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shadow w:val="false"/>
        <w:u w:val="none"/>
        <w:kern w:val="0"/>
        <w:effect w:val="none"/>
        <w:iCs w:val="false"/>
        <w:em w:val="none"/>
        <w:emboss w:val="false"/>
        <w:imprint w:val="false"/>
        <w:vanish w:val="false"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4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3"/>
    <w:next w:val="Normal"/>
    <w:qFormat/>
    <w:pPr>
      <w:ind w:hanging="0" w:left="426" w:right="0"/>
      <w:jc w:val="center"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120" w:after="60"/>
      <w:jc w:val="both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qFormat/>
    <w:pPr>
      <w:outlineLvl w:val="3"/>
    </w:pPr>
    <w:rPr>
      <w:bCs/>
    </w:rPr>
  </w:style>
  <w:style w:type="character" w:styleId="Style11">
    <w:name w:val="комментарий"/>
    <w:qFormat/>
    <w:rPr>
      <w:b/>
      <w:i/>
      <w:shd w:fill="FFFF99" w:val="clear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14">
    <w:name w:val="НТ"/>
    <w:basedOn w:val="Normal"/>
    <w:qFormat/>
    <w:pPr/>
    <w:rPr>
      <w:b/>
      <w:sz w:val="24"/>
      <w:szCs w:val="24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>
      <w:rFonts w:eastAsia="Calibri"/>
      <w:sz w:val="24"/>
      <w:szCs w:val="24"/>
    </w:rPr>
  </w:style>
  <w:style w:type="paragraph" w:styleId="Style15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18">
    <w:name w:val="Заголовок таблицы"/>
    <w:basedOn w:val="Style16"/>
    <w:qFormat/>
    <w:pPr>
      <w:suppressLineNumbers/>
      <w:jc w:val="center"/>
    </w:pPr>
    <w:rPr>
      <w:b/>
      <w:bCs/>
    </w:rPr>
  </w:style>
  <w:style w:type="paragraph" w:styleId="Style19">
    <w:name w:val="Абзац списка"/>
    <w:basedOn w:val="Normal"/>
    <w:qFormat/>
    <w:pPr>
      <w:tabs>
        <w:tab w:val="clear" w:pos="709"/>
      </w:tabs>
      <w:suppressAutoHyphens w:val="true"/>
      <w:ind w:hanging="0" w:left="720" w:right="0"/>
    </w:pPr>
    <w:rPr>
      <w:rFonts w:eastAsia="Calib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1310</TotalTime>
  <Application>LibreOffice/7.6.7.2$Linux_X86_64 LibreOffice_project/dd47e4b30cb7dab30588d6c79c651f218165e3c5</Application>
  <AppVersion>15.0000</AppVersion>
  <Pages>14</Pages>
  <Words>2655</Words>
  <Characters>17088</Characters>
  <CharactersWithSpaces>18975</CharactersWithSpaces>
  <Paragraphs>761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2023-10-03T15:54:08Z</dcterms:created>
  <dc:creator>makarova_ov</dc:creator>
  <dc:description/>
  <dc:language>ru-RU</dc:language>
  <cp:lastModifiedBy/>
  <dcterms:modified xsi:type="dcterms:W3CDTF">2026-07-08T15:28:31Z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